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center" w:leader="none" w:pos="4419"/>
          <w:tab w:val="right" w:leader="none" w:pos="8838"/>
        </w:tabs>
        <w:spacing w:after="0" w:line="240" w:lineRule="auto"/>
        <w:ind w:hanging="709"/>
        <w:jc w:val="center"/>
        <w:rPr>
          <w:rFonts w:ascii="Palatino Linotype" w:cs="Palatino Linotype" w:eastAsia="Palatino Linotype" w:hAnsi="Palatino Linotyp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center" w:leader="none" w:pos="4419"/>
          <w:tab w:val="right" w:leader="none" w:pos="8838"/>
        </w:tabs>
        <w:spacing w:after="0" w:line="240" w:lineRule="auto"/>
        <w:ind w:hanging="709"/>
        <w:jc w:val="center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FICHA TÉCNICA</w:t>
      </w:r>
      <w:r w:rsidDel="00000000" w:rsidR="00000000" w:rsidRPr="00000000">
        <w:rPr>
          <w:rtl w:val="0"/>
        </w:rPr>
      </w:r>
    </w:p>
    <w:tbl>
      <w:tblPr>
        <w:tblStyle w:val="Table1"/>
        <w:tblW w:w="14025.0" w:type="dxa"/>
        <w:jc w:val="left"/>
        <w:tblInd w:w="-645.0" w:type="dxa"/>
        <w:tblLayout w:type="fixed"/>
        <w:tblLook w:val="0400"/>
      </w:tblPr>
      <w:tblGrid>
        <w:gridCol w:w="4950"/>
        <w:gridCol w:w="4530"/>
        <w:gridCol w:w="4545"/>
        <w:tblGridChange w:id="0">
          <w:tblGrid>
            <w:gridCol w:w="4950"/>
            <w:gridCol w:w="4530"/>
            <w:gridCol w:w="4545"/>
          </w:tblGrid>
        </w:tblGridChange>
      </w:tblGrid>
      <w:tr>
        <w:trPr>
          <w:cantSplit w:val="0"/>
          <w:trHeight w:val="653.61328125" w:hRule="atLeast"/>
          <w:tblHeader w:val="1"/>
        </w:trPr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</w:rPr>
              <w:drawing>
                <wp:inline distB="114300" distT="114300" distL="114300" distR="114300">
                  <wp:extent cx="3009900" cy="1104900"/>
                  <wp:effectExtent b="0" l="0" r="0" t="0"/>
                  <wp:docPr id="399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1104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Nombre de la práctica: </w:t>
            </w:r>
          </w:p>
          <w:p w:rsidR="00000000" w:rsidDel="00000000" w:rsidP="00000000" w:rsidRDefault="00000000" w:rsidRPr="00000000" w14:paraId="00000007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Sistema de Información Asistencial de Zinacantepec (SIASZIN)</w:t>
            </w:r>
          </w:p>
        </w:tc>
      </w:tr>
      <w:tr>
        <w:trPr>
          <w:cantSplit w:val="0"/>
          <w:trHeight w:val="638.6132812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Nombre del Sujeto Obligado</w:t>
            </w:r>
          </w:p>
          <w:p w:rsidR="00000000" w:rsidDel="00000000" w:rsidP="00000000" w:rsidRDefault="00000000" w:rsidRPr="00000000" w14:paraId="0000000B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Sistema Municipal para el Desarrollo Integral de la Familia de Zinacantepec</w:t>
            </w:r>
          </w:p>
        </w:tc>
      </w:tr>
      <w:tr>
        <w:trPr>
          <w:cantSplit w:val="0"/>
          <w:trHeight w:val="638.6132812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Área responsable de la práctica</w:t>
            </w:r>
          </w:p>
          <w:p w:rsidR="00000000" w:rsidDel="00000000" w:rsidP="00000000" w:rsidRDefault="00000000" w:rsidRPr="00000000" w14:paraId="0000000F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Sistema Municipal para el Desarrollo Integral de la Familia de Zinacantepec</w:t>
            </w:r>
          </w:p>
        </w:tc>
      </w:tr>
      <w:tr>
        <w:trPr>
          <w:cantSplit w:val="0"/>
          <w:trHeight w:val="70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Disponible para su consulta en:</w:t>
            </w:r>
          </w:p>
          <w:p w:rsidR="00000000" w:rsidDel="00000000" w:rsidP="00000000" w:rsidRDefault="00000000" w:rsidRPr="00000000" w14:paraId="00000013">
            <w:pPr>
              <w:spacing w:after="0" w:lineRule="auto"/>
              <w:jc w:val="center"/>
              <w:rPr>
                <w:rFonts w:ascii="Palatino Linotype" w:cs="Palatino Linotype" w:eastAsia="Palatino Linotype" w:hAnsi="Palatino Linotype"/>
                <w:highlight w:val="white"/>
              </w:rPr>
            </w:pPr>
            <w:hyperlink r:id="rId8">
              <w:r w:rsidDel="00000000" w:rsidR="00000000" w:rsidRPr="00000000">
                <w:rPr>
                  <w:rFonts w:ascii="Palatino Linotype" w:cs="Palatino Linotype" w:eastAsia="Palatino Linotype" w:hAnsi="Palatino Linotype"/>
                  <w:color w:val="1155cc"/>
                  <w:highlight w:val="white"/>
                  <w:u w:val="single"/>
                  <w:rtl w:val="0"/>
                </w:rPr>
                <w:t xml:space="preserve">https://sistemas-dif.com/</w:t>
              </w:r>
            </w:hyperlink>
            <w:r w:rsidDel="00000000" w:rsidR="00000000" w:rsidRPr="00000000">
              <w:rPr>
                <w:rFonts w:ascii="Palatino Linotype" w:cs="Palatino Linotype" w:eastAsia="Palatino Linotype" w:hAnsi="Palatino Linotype"/>
                <w:highlight w:val="white"/>
                <w:rtl w:val="0"/>
              </w:rPr>
              <w:t xml:space="preserve"> </w:t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Periodo:  2025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Vigente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Alcance: 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Municipal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Lugar: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Municipio de Zinacantepec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Puntuación total: 100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spacing w:after="0" w:lineRule="auto"/>
        <w:jc w:val="left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30j0zll" w:id="0"/>
      <w:bookmarkEnd w:id="0"/>
      <w:r w:rsidDel="00000000" w:rsidR="00000000" w:rsidRPr="00000000">
        <w:rPr>
          <w:rtl w:val="0"/>
        </w:rPr>
      </w:r>
    </w:p>
    <w:tbl>
      <w:tblPr>
        <w:tblStyle w:val="Table2"/>
        <w:tblW w:w="13965.0" w:type="dxa"/>
        <w:jc w:val="left"/>
        <w:tblInd w:w="-632.0" w:type="dxa"/>
        <w:tblLayout w:type="fixed"/>
        <w:tblLook w:val="0400"/>
      </w:tblPr>
      <w:tblGrid>
        <w:gridCol w:w="7425"/>
        <w:gridCol w:w="6540"/>
        <w:tblGridChange w:id="0">
          <w:tblGrid>
            <w:gridCol w:w="7425"/>
            <w:gridCol w:w="6540"/>
          </w:tblGrid>
        </w:tblGridChange>
      </w:tblGrid>
      <w:tr>
        <w:trPr>
          <w:cantSplit w:val="0"/>
          <w:trHeight w:val="94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¿Qué es y cómo funciona la práctica?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after="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El Sistema de Información Asistencial de Zinacantepec (SIASZIN) es un micrositio localizado en el portal electrónico del Sujeto Obligado, cuya naturaleza intrínseca se asocia a la cimentación del gobierno electrónico, gobierno abierto, así como a la proactividad y sentido social en materia de transparencia, al circunscribir información en datos abiertos que pueden consultarse, usarse, reusarse, transformar y compartir, además de elementos visualmente agradables al usuario como: infografías, fichas técnicas y mapas sobre el espectro de la asistencia social (información relevante, panorama social y ubicación de los servicios de salud y asistencia) en el municipio de Zinacantepec. Con la finalidad de que la navegación de las personas usuarias se torne ágil y sencilla, se diseñó una infografía que explica a detalle los elementos del Sistema. </w:t>
            </w:r>
          </w:p>
        </w:tc>
      </w:tr>
      <w:tr>
        <w:trPr>
          <w:cantSplit w:val="0"/>
          <w:trHeight w:val="1220.72375488281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Objetivo:</w:t>
            </w:r>
          </w:p>
          <w:p w:rsidR="00000000" w:rsidDel="00000000" w:rsidP="00000000" w:rsidRDefault="00000000" w:rsidRPr="00000000" w14:paraId="00000020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Fungir como un espacio digital donde investigadores, académicos, estudiantes, servidores públicos y población en general pueden acceder de forma sencilla y estructurada a datos abiertos y mapeo sobre la marginación y rezago social en las localidades y Áreas Geoestadísticas Básicas (Agebs) del municipio de Zinacantepec. Conocer información relevante sobre grupos sociales atendidos por la asistencia social como: personas adultas mayores; personas con discapacidad y niñas, niños y adolescentes, puntualizando en este último grupo etario datos sobre el trabajo infantil. Propiciar que las personas usuarias de la asistencia social en el territorio municipal localicen de forma accesible y visualmente agradable aquellos inmuebles de atención médica, odontológica, gerontológica, terapias y consultas a efecto de impulsar la mejora en el acceso a trámites y servicios.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¿Por qué se desarrolló?</w:t>
            </w:r>
          </w:p>
          <w:p w:rsidR="00000000" w:rsidDel="00000000" w:rsidP="00000000" w:rsidRDefault="00000000" w:rsidRPr="00000000" w14:paraId="00000022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El DIF de Zinacantepec identificó que la baja participación digital de la población en temas de asistencia social se debe a falta de datos abiertos, poco conocimiento ciudadano y escasos mecanismos innovadores de participación.</w:t>
            </w:r>
          </w:p>
          <w:p w:rsidR="00000000" w:rsidDel="00000000" w:rsidP="00000000" w:rsidRDefault="00000000" w:rsidRPr="00000000" w14:paraId="00000023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Para solucionarlo, planteó el SIASZIN, un sistema que busca brindar acceso a datos abiertos, fomentar el conocimiento público y crear herramientas de participación, promoviendo así la colaboración entre gobierno y sociedad.</w:t>
            </w:r>
          </w:p>
          <w:p w:rsidR="00000000" w:rsidDel="00000000" w:rsidP="00000000" w:rsidRDefault="00000000" w:rsidRPr="00000000" w14:paraId="00000025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7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Observaciones: </w:t>
            </w:r>
          </w:p>
          <w:p w:rsidR="00000000" w:rsidDel="00000000" w:rsidP="00000000" w:rsidRDefault="00000000" w:rsidRPr="00000000" w14:paraId="00000028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  <w:b w:val="1"/>
                <w:highlight w:val="yellow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Derivado de la información remitida, se advierte que cuenta con los elementos suficientes para considerarse una Práctica de Transparencia Proactiva, al apreciarse los atributos de calidad de la información,  la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1f1f1f"/>
                <w:highlight w:val="white"/>
                <w:rtl w:val="0"/>
              </w:rPr>
              <w:t xml:space="preserve">contabilización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1f1f1f"/>
                <w:rtl w:val="0"/>
              </w:rPr>
              <w:t xml:space="preserve"> de consultas, la participación ciudadana, los efectos positivos y los medios alternos de difusión de la información.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spacing w:after="0" w:line="240" w:lineRule="auto"/>
        <w:ind w:left="-708" w:firstLine="0"/>
        <w:jc w:val="left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5lqmcjq76gdq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240" w:lineRule="auto"/>
        <w:ind w:left="-708" w:firstLine="0"/>
        <w:jc w:val="left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dl8bxftlg8y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240" w:lineRule="auto"/>
        <w:ind w:left="-708" w:firstLine="0"/>
        <w:jc w:val="center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y2fdnbofth29" w:id="3"/>
      <w:bookmarkEnd w:id="3"/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EVALUACIÓN</w:t>
      </w:r>
    </w:p>
    <w:sdt>
      <w:sdtPr>
        <w:lock w:val="contentLocked"/>
        <w:id w:val="319239686"/>
        <w:tag w:val="goog_rdk_0"/>
      </w:sdtPr>
      <w:sdtContent>
        <w:tbl>
          <w:tblPr>
            <w:tblStyle w:val="Table3"/>
            <w:tblW w:w="14430.0" w:type="dxa"/>
            <w:jc w:val="left"/>
            <w:tblInd w:w="-768.0000000000001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4710"/>
            <w:gridCol w:w="1500"/>
            <w:gridCol w:w="3090"/>
            <w:gridCol w:w="5130"/>
            <w:tblGridChange w:id="0">
              <w:tblGrid>
                <w:gridCol w:w="4710"/>
                <w:gridCol w:w="1500"/>
                <w:gridCol w:w="3090"/>
                <w:gridCol w:w="5130"/>
              </w:tblGrid>
            </w:tblGridChange>
          </w:tblGrid>
          <w:tr>
            <w:trPr>
              <w:cantSplit w:val="0"/>
              <w:trHeight w:val="420" w:hRule="atLeast"/>
              <w:tblHeader w:val="0"/>
            </w:trPr>
            <w:tc>
              <w:tcPr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CRITERIOS A EVALUAR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PUNTOS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COMENTARIOS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EVIDENCIA</w:t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bottom w:color="000000" w:space="0" w:sz="8" w:val="single"/>
                </w:tcBorders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1. Calidad de la información (0 a 4)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Accesible</w:t>
                </w:r>
              </w:p>
              <w:p w:rsidR="00000000" w:rsidDel="00000000" w:rsidP="00000000" w:rsidRDefault="00000000" w:rsidRPr="00000000" w14:paraId="0000003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esté presentada de tal manera que todas las personas puedan consultarla,</w:t>
                </w:r>
              </w:p>
              <w:p w:rsidR="00000000" w:rsidDel="00000000" w:rsidP="00000000" w:rsidRDefault="00000000" w:rsidRPr="00000000" w14:paraId="0000003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examinarla y utilizarla independientemente de sus capacidades técnicas, cognitivas o</w:t>
                </w:r>
              </w:p>
              <w:p w:rsidR="00000000" w:rsidDel="00000000" w:rsidP="00000000" w:rsidRDefault="00000000" w:rsidRPr="00000000" w14:paraId="0000003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físicas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A">
                <w:pPr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El </w:t>
                </w: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SIASZIN</w:t>
                </w: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 es accesible desde computadoras, tabletas o celulares, sin software especial. </w:t>
                </w:r>
              </w:p>
              <w:p w:rsidR="00000000" w:rsidDel="00000000" w:rsidP="00000000" w:rsidRDefault="00000000" w:rsidRPr="00000000" w14:paraId="0000003B">
                <w:pPr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C">
                <w:pPr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highlight w:val="yellow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D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448877" cy="1306566"/>
                      <wp:effectExtent b="0" l="0" r="0" t="0"/>
                      <wp:docPr id="397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9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48877" cy="130656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Confiable</w:t>
                </w:r>
              </w:p>
              <w:p w:rsidR="00000000" w:rsidDel="00000000" w:rsidP="00000000" w:rsidRDefault="00000000" w:rsidRPr="00000000" w14:paraId="0000003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sea creíble y fidedigna y que proporcione elementos y/o datos que</w:t>
                </w:r>
              </w:p>
              <w:p w:rsidR="00000000" w:rsidDel="00000000" w:rsidP="00000000" w:rsidRDefault="00000000" w:rsidRPr="00000000" w14:paraId="0000004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permiten la identificación de su origen, fecha de generación, de emisión y difusión de la</w:t>
                </w:r>
              </w:p>
              <w:p w:rsidR="00000000" w:rsidDel="00000000" w:rsidP="00000000" w:rsidRDefault="00000000" w:rsidRPr="00000000" w14:paraId="0000004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misma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3">
                <w:pPr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Datos plenamente identificados por instituciones rectoras en materia de información.</w:t>
                </w:r>
              </w:p>
              <w:p w:rsidR="00000000" w:rsidDel="00000000" w:rsidP="00000000" w:rsidRDefault="00000000" w:rsidRPr="00000000" w14:paraId="00000044">
                <w:pPr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125027" cy="1807569"/>
                      <wp:effectExtent b="0" l="0" r="0" t="0"/>
                      <wp:docPr id="392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10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25027" cy="180756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64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Comprensible</w:t>
                </w:r>
              </w:p>
              <w:p w:rsidR="00000000" w:rsidDel="00000000" w:rsidP="00000000" w:rsidRDefault="00000000" w:rsidRPr="00000000" w14:paraId="0000004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sencilla, clara y entendible para cualquier persona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A">
                <w:pPr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información se puede visualizar por medio de infografías, fichas técnicas, mapas y cuadros, sin la necesidad de que exista conocimiento técnico por parte de la población.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B">
                <w:pPr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658427" cy="1523733"/>
                      <wp:effectExtent b="0" l="0" r="0" t="0"/>
                      <wp:docPr id="384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1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58427" cy="152373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307.226562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Oportuna</w:t>
                </w:r>
              </w:p>
              <w:p w:rsidR="00000000" w:rsidDel="00000000" w:rsidP="00000000" w:rsidRDefault="00000000" w:rsidRPr="00000000" w14:paraId="0000004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 publica a tiempo para preservar su valor y ser útil para la toma de</w:t>
                </w:r>
              </w:p>
              <w:p w:rsidR="00000000" w:rsidDel="00000000" w:rsidP="00000000" w:rsidRDefault="00000000" w:rsidRPr="00000000" w14:paraId="0000004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decisiones de las personas usuarias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0">
                <w:pPr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Modalidad sistémica que permite considerar datos actuales y relevantes en materia de asistencia social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1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239327" cy="2314427"/>
                      <wp:effectExtent b="0" l="0" r="0" t="0"/>
                      <wp:docPr id="382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12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39327" cy="231442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Veraz</w:t>
                </w:r>
              </w:p>
              <w:p w:rsidR="00000000" w:rsidDel="00000000" w:rsidP="00000000" w:rsidRDefault="00000000" w:rsidRPr="00000000" w14:paraId="0000005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sea exacta, refiera o manifieste siempre la verdad respecto de lo generado,</w:t>
                </w:r>
              </w:p>
              <w:p w:rsidR="00000000" w:rsidDel="00000000" w:rsidP="00000000" w:rsidRDefault="00000000" w:rsidRPr="00000000" w14:paraId="0000005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utilizado o publicitado por el Sujeto Obligado</w:t>
                </w:r>
              </w:p>
              <w:p w:rsidR="00000000" w:rsidDel="00000000" w:rsidP="00000000" w:rsidRDefault="00000000" w:rsidRPr="00000000" w14:paraId="0000005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7">
                <w:pPr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información manifiesta una estricta veracidad con respecto a lo generado por el Sujeto Obligado, al retomarla de instituciones rectoras en materia de generación de datos sobre pobreza, marginación y rezago social.</w:t>
                </w:r>
              </w:p>
            </w:tc>
            <w:tc>
              <w:tcPr>
                <w:vMerge w:val="restart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124200" cy="1104900"/>
                      <wp:effectExtent b="0" l="0" r="0" t="0"/>
                      <wp:docPr id="398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13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24200" cy="11049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Congruente</w:t>
                </w:r>
              </w:p>
              <w:p w:rsidR="00000000" w:rsidDel="00000000" w:rsidP="00000000" w:rsidRDefault="00000000" w:rsidRPr="00000000" w14:paraId="0000005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mantiene relación y coherencia con otra información generada,</w:t>
                </w:r>
              </w:p>
              <w:p w:rsidR="00000000" w:rsidDel="00000000" w:rsidP="00000000" w:rsidRDefault="00000000" w:rsidRPr="00000000" w14:paraId="0000005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utilizada y/o publicada por 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Guarda coherencia con información generada y publicada por el Sujeto Obligado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Verificable</w:t>
                </w:r>
              </w:p>
              <w:p w:rsidR="00000000" w:rsidDel="00000000" w:rsidP="00000000" w:rsidRDefault="00000000" w:rsidRPr="00000000" w14:paraId="0000006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posible comprobar la veracidad de la información, así como</w:t>
                </w:r>
              </w:p>
              <w:p w:rsidR="00000000" w:rsidDel="00000000" w:rsidP="00000000" w:rsidRDefault="00000000" w:rsidRPr="00000000" w14:paraId="0000006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examinar el método por el cual el Sujeto Obligado la generó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información emana de  fuentes fidedignas como el INEGI y el CONEVAL, además de trabajo de campo para plasmar los datos de la ubicación de servicios de asistencia y salud.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Completa</w:t>
                </w:r>
              </w:p>
              <w:p w:rsidR="00000000" w:rsidDel="00000000" w:rsidP="00000000" w:rsidRDefault="00000000" w:rsidRPr="00000000" w14:paraId="0000006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proporcione todos los datos, aspectos, partes o referentes necesarios</w:t>
                </w:r>
              </w:p>
              <w:p w:rsidR="00000000" w:rsidDel="00000000" w:rsidP="00000000" w:rsidRDefault="00000000" w:rsidRPr="00000000" w14:paraId="0000006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para ser global respecto del quehacer del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Los datos, ilustraciones y mapas contenidos en la práctica aluden la generalidad de la asistencia social en el municipio.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353627" cy="1399260"/>
                      <wp:effectExtent b="0" l="0" r="0" t="0"/>
                      <wp:docPr id="385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14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53627" cy="13992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Actual</w:t>
                </w:r>
              </w:p>
              <w:p w:rsidR="00000000" w:rsidDel="00000000" w:rsidP="00000000" w:rsidRDefault="00000000" w:rsidRPr="00000000" w14:paraId="0000006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la última versión de la información y es resultado de la adición,</w:t>
                </w:r>
              </w:p>
              <w:p w:rsidR="00000000" w:rsidDel="00000000" w:rsidP="00000000" w:rsidRDefault="00000000" w:rsidRPr="00000000" w14:paraId="0000006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modificación o generación de datos a partir de las acciones y actividades del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0">
                <w:pPr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totalidad de la información presentada en el SIASZIN se encuentra actualizada, al contemplar la última versión de documentos electrónicos de instituciones rectoras facultadas en la materia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1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315527" cy="1383669"/>
                      <wp:effectExtent b="0" l="0" r="0" t="0"/>
                      <wp:docPr id="394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5527" cy="138366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Datos abiertos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4">
                <w:pPr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Toda la información contenida se puede descargar en formatos abiertos. 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096452" cy="1732130"/>
                      <wp:effectExtent b="0" l="0" r="0" t="0"/>
                      <wp:docPr id="386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16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96452" cy="17321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2. Contabilización de consultas o reutilización de la información en medios de difusión (0 a 10)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Existencia de mecanismos de registro de consultas y/o reutilización de información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D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Cuenta con contador de visitas.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F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1181100" cy="489462"/>
                      <wp:effectExtent b="0" l="0" r="0" t="0"/>
                      <wp:docPr id="393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17"/>
                              <a:srcRect b="41202" l="17933" r="36375" t="2006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81100" cy="489462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47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0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Aprovechamiento del registro de consultas y/o reutilización de la información publicada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2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Dota de oportunidades de mejora al personal del Sujeto Obligado, en torno a incrementar la información presentada, que esta resulte más beneficiosa para la gente y que contribuya en mayor medida a transparentar proactivamente y con sentido social las atribuciones y funciones del mismo. </w:t>
                </w:r>
              </w:p>
              <w:p w:rsidR="00000000" w:rsidDel="00000000" w:rsidP="00000000" w:rsidRDefault="00000000" w:rsidRPr="00000000" w14:paraId="00000083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124200" cy="1511300"/>
                      <wp:effectExtent b="0" l="0" r="0" t="0"/>
                      <wp:docPr id="388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18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24200" cy="15113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</w:p>
            </w:tc>
          </w:tr>
          <w:tr>
            <w:trPr>
              <w:cantSplit w:val="0"/>
              <w:trHeight w:val="375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3. La participación ciudadana efectiva e informada en el proceso de publicación y difusión de información proactiva (0 a 10)</w:t>
                </w:r>
              </w:p>
            </w:tc>
          </w:tr>
          <w:tr>
            <w:trPr>
              <w:cantSplit w:val="0"/>
              <w:trHeight w:val="223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implementación de mecanismos de participación ciudadana, como encuestas, estudios de opinión, o cualquier otro ejercicio que derive en la aplicación de algún instrumento o herramienta que posibilite la apertura de las instituciones públicas hacia la participación efectiva de la población que haga uso de la información publicada de manera proactiva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C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evaluación permite la realimentación ciudadana 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D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801302" cy="1648327"/>
                      <wp:effectExtent b="0" l="0" r="0" t="0"/>
                      <wp:docPr id="396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19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01302" cy="164832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23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El aprovechamiento de los mecanismos de participación ciudadana para la mejora de la publicación y difusión de información proactiva.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0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El esquema evaluativo del SIASZIN permitió al Sujeto Obligado considerar oportunidades de mejora en torno a su posible rediseño, o tomar en cuenta comentarios sobre aspectos que deben fortalecerse o incluirse.</w:t>
                </w:r>
              </w:p>
              <w:p w:rsidR="00000000" w:rsidDel="00000000" w:rsidP="00000000" w:rsidRDefault="00000000" w:rsidRPr="00000000" w14:paraId="00000091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2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1867852" cy="1245235"/>
                      <wp:effectExtent b="0" l="0" r="0" t="0"/>
                      <wp:docPr id="387" name="image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png"/>
                              <pic:cNvPicPr preferRelativeResize="0"/>
                            </pic:nvPicPr>
                            <pic:blipFill>
                              <a:blip r:embed="rId20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67852" cy="12452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3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4. Efectos positivos generados a partir de la información difundida en el marco de la política de TP (0 a 10)</w:t>
                </w:r>
              </w:p>
            </w:tc>
          </w:tr>
          <w:tr>
            <w:trPr>
              <w:cantSplit w:val="0"/>
              <w:trHeight w:val="5735.71289062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El diseño e implementación de mecanismos de evaluación de la política de transparencia proactiva por parte de cada Sujeto Obligado</w:t>
                </w:r>
              </w:p>
            </w:tc>
            <w:tc>
              <w:tcPr>
                <w:tcBorders>
                  <w:top w:color="000000" w:space="0" w:sz="8" w:val="single"/>
                  <w:left w:color="cccccc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A">
                <w:pPr>
                  <w:spacing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Sistema interactivo y disponible en línea 24/7, que ofrece información sobre servicios de asistencia, salud y grupos etarios atendidos</w:t>
                </w:r>
              </w:p>
              <w:p w:rsidR="00000000" w:rsidDel="00000000" w:rsidP="00000000" w:rsidRDefault="00000000" w:rsidRPr="00000000" w14:paraId="0000009B">
                <w:pPr>
                  <w:spacing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Cuenta con datos abiertos estructurados y reutilizables, promoviendo la democracia y la participación ciudadana en la toma de decisiones</w:t>
                </w:r>
              </w:p>
              <w:p w:rsidR="00000000" w:rsidDel="00000000" w:rsidP="00000000" w:rsidRDefault="00000000" w:rsidRPr="00000000" w14:paraId="0000009C">
                <w:pPr>
                  <w:spacing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Mejora el acceso a servicios, optimiza decisiones fortalece la relación entre ciudadanía y gobierno, y fomenta la transparencia y la modernización organizacional.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D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124200" cy="1219200"/>
                      <wp:effectExtent b="0" l="0" r="0" t="0"/>
                      <wp:docPr id="395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2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24200" cy="12192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F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5. La difusión de la información proactiva en medios distintos al internet (0 a 10)</w:t>
                </w:r>
              </w:p>
            </w:tc>
          </w:tr>
          <w:tr>
            <w:trPr>
              <w:cantSplit w:val="1"/>
              <w:trHeight w:val="313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Utilización e implementación de medios alternativos de divulgación de la información proactiva, como radiodifusión, televisión, medios impresos, lonas, perifoneo, pláticas informativas, asesorías, volantes, sistemas de comunicación para personas con discapacidad y otras herramientas específicas dirigidas a grupos con dificultades de uso y acceso a tecnologías de la información.</w:t>
                </w:r>
              </w:p>
            </w:tc>
            <w:tc>
              <w:tcPr>
                <w:tcBorders>
                  <w:top w:color="000000" w:space="0" w:sz="8" w:val="single"/>
                  <w:left w:color="cccccc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A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Generación de volantes y redes sociales 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A7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  <w:r w:rsidDel="00000000" w:rsidR="00000000" w:rsidRPr="00000000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1266825</wp:posOffset>
                      </wp:positionH>
                      <wp:positionV relativeFrom="paragraph">
                        <wp:posOffset>-66674</wp:posOffset>
                      </wp:positionV>
                      <wp:extent cx="1763077" cy="949349"/>
                      <wp:effectExtent b="0" l="0" r="0" t="0"/>
                      <wp:wrapSquare wrapText="bothSides" distB="0" distT="0" distL="114300" distR="114300"/>
                      <wp:docPr id="389" name="image4.jp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jpg"/>
                              <pic:cNvPicPr preferRelativeResize="0"/>
                            </pic:nvPicPr>
                            <pic:blipFill>
                              <a:blip r:embed="rId22"/>
                              <a:srcRect b="9638" l="4545" r="5000" t="2148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63077" cy="94934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w:r>
              </w:p>
              <w:p w:rsidR="00000000" w:rsidDel="00000000" w:rsidP="00000000" w:rsidRDefault="00000000" w:rsidRPr="00000000" w14:paraId="000000A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  <w:r w:rsidDel="00000000" w:rsidR="00000000" w:rsidRPr="00000000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66676</wp:posOffset>
                      </wp:positionH>
                      <wp:positionV relativeFrom="paragraph">
                        <wp:posOffset>142623</wp:posOffset>
                      </wp:positionV>
                      <wp:extent cx="1515427" cy="1134740"/>
                      <wp:effectExtent b="0" l="0" r="0" t="0"/>
                      <wp:wrapSquare wrapText="bothSides" distB="0" distT="0" distL="114300" distR="114300"/>
                      <wp:docPr id="390" name="image3.jp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jpg"/>
                              <pic:cNvPicPr preferRelativeResize="0"/>
                            </pic:nvPicPr>
                            <pic:blipFill>
                              <a:blip r:embed="rId23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15427" cy="11347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</w:tr>
        </w:tbl>
      </w:sdtContent>
    </w:sdt>
    <w:p w:rsidR="00000000" w:rsidDel="00000000" w:rsidP="00000000" w:rsidRDefault="00000000" w:rsidRPr="00000000" w14:paraId="000000A9">
      <w:pPr>
        <w:spacing w:after="240" w:line="276" w:lineRule="auto"/>
        <w:ind w:left="-708" w:firstLine="0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uye03zr0ncmu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after="0" w:line="240" w:lineRule="auto"/>
        <w:ind w:left="-708" w:firstLine="0"/>
        <w:jc w:val="center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c0tbzy5525wm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headerReference r:id="rId24" w:type="default"/>
      <w:footerReference r:id="rId25" w:type="default"/>
      <w:pgSz w:h="12240" w:w="15840" w:orient="landscape"/>
      <w:pgMar w:bottom="426" w:top="703" w:left="1701" w:right="1701" w:header="284" w:footer="12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Black">
    <w:embedRegular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D">
    <w:pPr>
      <w:jc w:val="center"/>
      <w:rPr>
        <w:rFonts w:ascii="Arial Black" w:cs="Arial Black" w:eastAsia="Arial Black" w:hAnsi="Arial Black"/>
        <w:b w:val="1"/>
        <w:sz w:val="28"/>
        <w:szCs w:val="2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ind w:hanging="709"/>
      <w:rPr>
        <w:color w:val="000000"/>
      </w:rPr>
    </w:pPr>
    <w:r w:rsidDel="00000000" w:rsidR="00000000" w:rsidRPr="00000000">
      <w:rPr/>
      <w:drawing>
        <wp:inline distB="0" distT="0" distL="0" distR="0">
          <wp:extent cx="1219200" cy="603250"/>
          <wp:effectExtent b="0" l="0" r="0" t="0"/>
          <wp:docPr descr="https://lh6.googleusercontent.com/jNsTCK7SJZV1G9JWz3KsjecHRN4qJBWoT1yqJ8zI3zdP1eyDVhfsZPKAbxD-9PH4L81amB6R4ly7ryAICARerfuunqGa48sgff2NtmnjPGjMrXalaO6TgZ9QPIAQbCVvAvSzKqdARw2yNhE-5_s2eg" id="391" name="image12.png"/>
          <a:graphic>
            <a:graphicData uri="http://schemas.openxmlformats.org/drawingml/2006/picture">
              <pic:pic>
                <pic:nvPicPr>
                  <pic:cNvPr descr="https://lh6.googleusercontent.com/jNsTCK7SJZV1G9JWz3KsjecHRN4qJBWoT1yqJ8zI3zdP1eyDVhfsZPKAbxD-9PH4L81amB6R4ly7ryAICARerfuunqGa48sgff2NtmnjPGjMrXalaO6TgZ9QPIAQbCVvAvSzKqdARw2yNhE-5_s2eg" id="0" name="image12.png"/>
                  <pic:cNvPicPr preferRelativeResize="0"/>
                </pic:nvPicPr>
                <pic:blipFill>
                  <a:blip r:embed="rId1"/>
                  <a:srcRect b="25355" l="27472" r="25000" t="5794"/>
                  <a:stretch>
                    <a:fillRect/>
                  </a:stretch>
                </pic:blipFill>
                <pic:spPr>
                  <a:xfrm>
                    <a:off x="0" y="0"/>
                    <a:ext cx="1219200" cy="6032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-933437</wp:posOffset>
          </wp:positionH>
          <wp:positionV relativeFrom="paragraph">
            <wp:posOffset>-85713</wp:posOffset>
          </wp:positionV>
          <wp:extent cx="9915525" cy="7682548"/>
          <wp:effectExtent b="0" l="0" r="0" t="0"/>
          <wp:wrapNone/>
          <wp:docPr descr="Imagen que contiene Gráfico de superficie&#10;&#10;Descripción generada automáticamente" id="383" name="image7.png"/>
          <a:graphic>
            <a:graphicData uri="http://schemas.openxmlformats.org/drawingml/2006/picture">
              <pic:pic>
                <pic:nvPicPr>
                  <pic:cNvPr descr="Imagen que contiene Gráfico de superficie&#10;&#10;Descripción generada automáticamente" id="0" name="image7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915525" cy="7682548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709AD"/>
    <w:rPr>
      <w:lang w:val="es-MX"/>
    </w:rPr>
  </w:style>
  <w:style w:type="paragraph" w:styleId="Piedepgina">
    <w:name w:val="footer"/>
    <w:basedOn w:val="Normal"/>
    <w:link w:val="Piedepgina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709AD"/>
    <w:rPr>
      <w:lang w:val="es-MX"/>
    </w:rPr>
  </w:style>
  <w:style w:type="paragraph" w:styleId="Prrafodelista">
    <w:name w:val="List Paragraph"/>
    <w:basedOn w:val="Normal"/>
    <w:uiPriority w:val="34"/>
    <w:qFormat w:val="1"/>
    <w:rsid w:val="00CA6134"/>
    <w:pPr>
      <w:ind w:left="720"/>
      <w:contextualSpacing w:val="1"/>
    </w:pPr>
  </w:style>
  <w:style w:type="character" w:styleId="Hipervnculo">
    <w:name w:val="Hyperlink"/>
    <w:basedOn w:val="Fuentedeprrafopredeter"/>
    <w:uiPriority w:val="99"/>
    <w:unhideWhenUsed w:val="1"/>
    <w:rsid w:val="00CA6134"/>
    <w:rPr>
      <w:color w:val="0563c1" w:themeColor="hyperlink"/>
      <w:u w:val="single"/>
    </w:rPr>
  </w:style>
  <w:style w:type="table" w:styleId="a" w:customStyle="1">
    <w:basedOn w:val="TableNormal6"/>
    <w:tblPr>
      <w:tblStyleRowBandSize w:val="1"/>
      <w:tblStyleColBandSize w:val="1"/>
      <w:tblCellMar>
        <w:top w:w="41.0" w:type="dxa"/>
        <w:left w:w="106.0" w:type="dxa"/>
        <w:bottom w:w="0.0" w:type="dxa"/>
        <w:right w:w="67.0" w:type="dxa"/>
      </w:tblCellMar>
    </w:tblPr>
  </w:style>
  <w:style w:type="table" w:styleId="a0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3.0" w:type="dxa"/>
      </w:tblCellMar>
    </w:tblPr>
  </w:style>
  <w:style w:type="table" w:styleId="a1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0.0" w:type="dxa"/>
      </w:tblCellMar>
    </w:tblPr>
  </w:style>
  <w:style w:type="table" w:styleId="a2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2.0" w:type="dxa"/>
      </w:tblCellMar>
    </w:tblPr>
  </w:style>
  <w:style w:type="table" w:styleId="a3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4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26.0" w:type="dxa"/>
      </w:tblCellMar>
    </w:tblPr>
  </w:style>
  <w:style w:type="table" w:styleId="a5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6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12.0" w:type="dxa"/>
      </w:tblCellMar>
    </w:tblPr>
  </w:style>
  <w:style w:type="table" w:styleId="a7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9.0" w:type="dxa"/>
      </w:tblCellMar>
    </w:tblPr>
  </w:style>
  <w:style w:type="table" w:styleId="a8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9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7.0" w:type="dxa"/>
      </w:tblCellMar>
    </w:tblPr>
  </w:style>
  <w:style w:type="table" w:styleId="aa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b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c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d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e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0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1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2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3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4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5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6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7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8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9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a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character" w:styleId="Nmerodepgina">
    <w:name w:val="page number"/>
    <w:basedOn w:val="Fuentedeprrafopredeter"/>
    <w:uiPriority w:val="99"/>
    <w:semiHidden w:val="1"/>
    <w:unhideWhenUsed w:val="1"/>
    <w:rsid w:val="00B6330C"/>
  </w:style>
  <w:style w:type="character" w:styleId="Mencinsinresolver1" w:customStyle="1">
    <w:name w:val="Mención sin resolver1"/>
    <w:basedOn w:val="Fuentedeprrafopredeter"/>
    <w:uiPriority w:val="99"/>
    <w:semiHidden w:val="1"/>
    <w:unhideWhenUsed w:val="1"/>
    <w:rsid w:val="001E5A88"/>
    <w:rPr>
      <w:color w:val="605e5c"/>
      <w:shd w:color="auto" w:fill="e1dfdd" w:val="clear"/>
    </w:rPr>
  </w:style>
  <w:style w:type="table" w:styleId="a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7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8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9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a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7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8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9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a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b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c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d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e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0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1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2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3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4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paragraph" w:styleId="NormalWeb">
    <w:name w:val="Normal (Web)"/>
    <w:basedOn w:val="Normal"/>
    <w:uiPriority w:val="99"/>
    <w:unhideWhenUsed w:val="1"/>
    <w:rsid w:val="00195077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5.png"/><Relationship Id="rId22" Type="http://schemas.openxmlformats.org/officeDocument/2006/relationships/image" Target="media/image4.jpg"/><Relationship Id="rId21" Type="http://schemas.openxmlformats.org/officeDocument/2006/relationships/image" Target="media/image13.png"/><Relationship Id="rId24" Type="http://schemas.openxmlformats.org/officeDocument/2006/relationships/header" Target="header1.xml"/><Relationship Id="rId23" Type="http://schemas.openxmlformats.org/officeDocument/2006/relationships/image" Target="media/image3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7.png"/><Relationship Id="rId25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0.png"/><Relationship Id="rId8" Type="http://schemas.openxmlformats.org/officeDocument/2006/relationships/hyperlink" Target="https://sistemas-dif.com/" TargetMode="External"/><Relationship Id="rId11" Type="http://schemas.openxmlformats.org/officeDocument/2006/relationships/image" Target="media/image14.png"/><Relationship Id="rId10" Type="http://schemas.openxmlformats.org/officeDocument/2006/relationships/image" Target="media/image11.png"/><Relationship Id="rId13" Type="http://schemas.openxmlformats.org/officeDocument/2006/relationships/image" Target="media/image6.png"/><Relationship Id="rId12" Type="http://schemas.openxmlformats.org/officeDocument/2006/relationships/image" Target="media/image18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7" Type="http://schemas.openxmlformats.org/officeDocument/2006/relationships/image" Target="media/image16.png"/><Relationship Id="rId16" Type="http://schemas.openxmlformats.org/officeDocument/2006/relationships/image" Target="media/image5.png"/><Relationship Id="rId19" Type="http://schemas.openxmlformats.org/officeDocument/2006/relationships/image" Target="media/image2.png"/><Relationship Id="rId1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ArialBlack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NTXX4UckALUZu9qUFUTa3x4WyQ==">CgMxLjAaHwoBMBIaChgICVIUChJ0YWJsZS5mcDhnaWtlaHdwdGwyCWguMzBqMHpsbDIOaC41bHFtY2pxNzZnZHEyDWguZGw4YnhmdGxnOHkyDmgueTJmZG5ib2Z0aDI5Mg5oLnV5ZTAzenIwbmNtdTIOaC5jMHRienk1NTI1d204AHIhMWt0NG82d1JjRTJnZ2ZBWkNWTFFFeHYwUkNqeWh4VW53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2023-07-10T20:15:00Z</dcterms:created>
  <dc:creator>Jonathan Guillermo Munoz Acevedo</dc:creator>
</cp:coreProperties>
</file>